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A305">
      <w:pPr>
        <w:spacing w:line="500" w:lineRule="exact"/>
        <w:jc w:val="center"/>
        <w:outlineLvl w:val="0"/>
        <w:rPr>
          <w:rFonts w:ascii="Times New Roman" w:hAnsi="Times New Roman"/>
          <w:b/>
          <w:color w:val="auto"/>
          <w:sz w:val="44"/>
          <w:szCs w:val="44"/>
          <w:highlight w:val="none"/>
        </w:rPr>
      </w:pPr>
      <w:bookmarkStart w:id="0" w:name="_Toc1519"/>
      <w:bookmarkStart w:id="1" w:name="_Toc31956"/>
      <w:r>
        <w:rPr>
          <w:rFonts w:ascii="Times New Roman" w:hAnsi="Times New Roman"/>
          <w:b/>
          <w:color w:val="auto"/>
          <w:sz w:val="44"/>
          <w:szCs w:val="44"/>
          <w:highlight w:val="none"/>
        </w:rPr>
        <w:t>采购需求</w:t>
      </w:r>
      <w:bookmarkEnd w:id="0"/>
      <w:bookmarkEnd w:id="1"/>
    </w:p>
    <w:p w14:paraId="48214463">
      <w:pPr>
        <w:pStyle w:val="5"/>
        <w:numPr>
          <w:ilvl w:val="0"/>
          <w:numId w:val="0"/>
        </w:numPr>
        <w:spacing w:line="360" w:lineRule="auto"/>
        <w:rPr>
          <w:rFonts w:hint="eastAsia" w:ascii="Calibri" w:hAnsi="Calibri" w:eastAsia="宋体" w:cs="Times New Roman"/>
          <w:sz w:val="30"/>
          <w:szCs w:val="30"/>
          <w:highlight w:val="none"/>
        </w:rPr>
      </w:pPr>
    </w:p>
    <w:p w14:paraId="4FA5D1D1">
      <w:pPr>
        <w:pStyle w:val="5"/>
        <w:numPr>
          <w:ilvl w:val="0"/>
          <w:numId w:val="0"/>
        </w:numPr>
        <w:spacing w:line="360" w:lineRule="auto"/>
        <w:ind w:firstLine="301" w:firstLineChars="100"/>
        <w:rPr>
          <w:rFonts w:hint="eastAsia" w:ascii="Calibri" w:hAnsi="Calibri" w:eastAsia="宋体" w:cs="Times New Roman"/>
          <w:sz w:val="30"/>
          <w:szCs w:val="30"/>
          <w:highlight w:val="none"/>
        </w:rPr>
      </w:pPr>
      <w:r>
        <w:rPr>
          <w:rFonts w:hint="eastAsia" w:ascii="Calibri" w:hAnsi="Calibri" w:eastAsia="宋体" w:cs="Times New Roman"/>
          <w:sz w:val="30"/>
          <w:szCs w:val="30"/>
          <w:highlight w:val="none"/>
        </w:rPr>
        <w:t>一、采购标的清单</w:t>
      </w:r>
    </w:p>
    <w:tbl>
      <w:tblPr>
        <w:tblStyle w:val="3"/>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146"/>
        <w:gridCol w:w="1126"/>
        <w:gridCol w:w="2585"/>
      </w:tblGrid>
      <w:tr w14:paraId="1B3C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pct"/>
            <w:noWrap w:val="0"/>
            <w:vAlign w:val="center"/>
          </w:tcPr>
          <w:p w14:paraId="52707909">
            <w:pPr>
              <w:spacing w:line="360" w:lineRule="exact"/>
              <w:jc w:val="center"/>
              <w:rPr>
                <w:rFonts w:ascii="宋体" w:hAnsi="宋体"/>
                <w:sz w:val="24"/>
                <w:szCs w:val="24"/>
              </w:rPr>
            </w:pPr>
            <w:r>
              <w:rPr>
                <w:rFonts w:hint="eastAsia" w:ascii="宋体" w:hAnsi="宋体"/>
                <w:sz w:val="24"/>
                <w:szCs w:val="24"/>
              </w:rPr>
              <w:t>序号</w:t>
            </w:r>
          </w:p>
        </w:tc>
        <w:tc>
          <w:tcPr>
            <w:tcW w:w="2353" w:type="pct"/>
            <w:noWrap w:val="0"/>
            <w:vAlign w:val="center"/>
          </w:tcPr>
          <w:p w14:paraId="11F715EC">
            <w:pPr>
              <w:spacing w:line="360" w:lineRule="exact"/>
              <w:jc w:val="center"/>
              <w:rPr>
                <w:rFonts w:hint="default" w:ascii="宋体" w:hAnsi="宋体" w:eastAsiaTheme="minorEastAsia"/>
                <w:sz w:val="24"/>
                <w:szCs w:val="24"/>
                <w:lang w:val="en-US" w:eastAsia="zh-CN"/>
              </w:rPr>
            </w:pPr>
            <w:r>
              <w:rPr>
                <w:rFonts w:hint="eastAsia" w:ascii="宋体" w:hAnsi="宋体"/>
                <w:sz w:val="24"/>
                <w:szCs w:val="24"/>
                <w:lang w:val="en-US" w:eastAsia="zh-CN"/>
              </w:rPr>
              <w:t>标的名称</w:t>
            </w:r>
          </w:p>
        </w:tc>
        <w:tc>
          <w:tcPr>
            <w:tcW w:w="639" w:type="pct"/>
            <w:noWrap w:val="0"/>
            <w:vAlign w:val="center"/>
          </w:tcPr>
          <w:p w14:paraId="70CA2B6F">
            <w:pPr>
              <w:tabs>
                <w:tab w:val="left" w:pos="2020"/>
              </w:tabs>
              <w:spacing w:line="4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数量</w:t>
            </w:r>
          </w:p>
        </w:tc>
        <w:tc>
          <w:tcPr>
            <w:tcW w:w="1467" w:type="pct"/>
            <w:noWrap w:val="0"/>
            <w:vAlign w:val="center"/>
          </w:tcPr>
          <w:p w14:paraId="06C3D1C2">
            <w:pPr>
              <w:tabs>
                <w:tab w:val="left" w:pos="2020"/>
              </w:tabs>
              <w:spacing w:line="480" w:lineRule="exact"/>
              <w:jc w:val="center"/>
              <w:rPr>
                <w:rFonts w:ascii="宋体" w:hAnsi="宋体"/>
                <w:sz w:val="24"/>
                <w:szCs w:val="24"/>
              </w:rPr>
            </w:pPr>
            <w:r>
              <w:rPr>
                <w:rFonts w:hint="eastAsia" w:ascii="宋体" w:hAnsi="宋体"/>
                <w:sz w:val="24"/>
                <w:szCs w:val="24"/>
              </w:rPr>
              <w:t>对应中</w:t>
            </w:r>
            <w:r>
              <w:rPr>
                <w:rFonts w:ascii="宋体" w:hAnsi="宋体"/>
                <w:sz w:val="24"/>
                <w:szCs w:val="24"/>
              </w:rPr>
              <w:t>小企业划分标准所属行业</w:t>
            </w:r>
          </w:p>
        </w:tc>
      </w:tr>
      <w:tr w14:paraId="3692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39" w:type="pct"/>
            <w:noWrap w:val="0"/>
            <w:vAlign w:val="center"/>
          </w:tcPr>
          <w:p w14:paraId="79F2096B">
            <w:pPr>
              <w:tabs>
                <w:tab w:val="left" w:pos="2020"/>
              </w:tabs>
              <w:spacing w:line="480" w:lineRule="exact"/>
              <w:jc w:val="center"/>
              <w:rPr>
                <w:rFonts w:ascii="宋体" w:hAnsi="宋体"/>
                <w:sz w:val="24"/>
                <w:szCs w:val="24"/>
              </w:rPr>
            </w:pPr>
            <w:r>
              <w:rPr>
                <w:rFonts w:hint="eastAsia" w:ascii="宋体" w:hAnsi="宋体"/>
                <w:sz w:val="24"/>
                <w:szCs w:val="24"/>
              </w:rPr>
              <w:t>1</w:t>
            </w:r>
          </w:p>
        </w:tc>
        <w:tc>
          <w:tcPr>
            <w:tcW w:w="2353" w:type="pct"/>
            <w:noWrap w:val="0"/>
            <w:vAlign w:val="center"/>
          </w:tcPr>
          <w:p w14:paraId="2EE03950">
            <w:pPr>
              <w:spacing w:line="480" w:lineRule="exact"/>
              <w:jc w:val="center"/>
              <w:rPr>
                <w:rFonts w:ascii="宋体" w:hAnsi="宋体"/>
                <w:sz w:val="24"/>
                <w:szCs w:val="24"/>
              </w:rPr>
            </w:pPr>
            <w:r>
              <w:rPr>
                <w:rFonts w:hint="eastAsia" w:ascii="Times New Roman" w:hAnsi="Times New Roman" w:cs="仿宋"/>
                <w:sz w:val="24"/>
                <w:szCs w:val="24"/>
                <w:highlight w:val="none"/>
                <w:lang w:val="en-US" w:eastAsia="zh-CN"/>
              </w:rPr>
              <w:t>泗洪县农村住宅类专项试点服务项目</w:t>
            </w:r>
          </w:p>
        </w:tc>
        <w:tc>
          <w:tcPr>
            <w:tcW w:w="639" w:type="pct"/>
            <w:noWrap w:val="0"/>
            <w:vAlign w:val="center"/>
          </w:tcPr>
          <w:p w14:paraId="2B0560DF">
            <w:pPr>
              <w:tabs>
                <w:tab w:val="left" w:pos="2020"/>
              </w:tabs>
              <w:spacing w:line="480" w:lineRule="exact"/>
              <w:jc w:val="center"/>
              <w:rPr>
                <w:rFonts w:hint="default" w:ascii="宋体" w:hAnsi="宋体" w:eastAsiaTheme="minorEastAsia"/>
                <w:sz w:val="24"/>
                <w:szCs w:val="24"/>
                <w:lang w:val="en-US" w:eastAsia="zh-CN"/>
              </w:rPr>
            </w:pPr>
            <w:r>
              <w:rPr>
                <w:rFonts w:hint="eastAsia" w:ascii="宋体" w:hAnsi="宋体"/>
                <w:sz w:val="24"/>
                <w:szCs w:val="24"/>
                <w:lang w:val="en-US" w:eastAsia="zh-CN"/>
              </w:rPr>
              <w:t>1项</w:t>
            </w:r>
          </w:p>
        </w:tc>
        <w:tc>
          <w:tcPr>
            <w:tcW w:w="1467" w:type="pct"/>
            <w:noWrap w:val="0"/>
            <w:vAlign w:val="center"/>
          </w:tcPr>
          <w:p w14:paraId="100E5304">
            <w:pPr>
              <w:tabs>
                <w:tab w:val="left" w:pos="2020"/>
              </w:tabs>
              <w:spacing w:line="480" w:lineRule="exact"/>
              <w:jc w:val="center"/>
              <w:rPr>
                <w:rFonts w:ascii="宋体" w:hAnsi="宋体"/>
                <w:sz w:val="24"/>
                <w:szCs w:val="24"/>
              </w:rPr>
            </w:pPr>
            <w:r>
              <w:rPr>
                <w:rFonts w:ascii="宋体" w:hAnsi="宋体"/>
                <w:sz w:val="24"/>
                <w:szCs w:val="24"/>
              </w:rPr>
              <w:t>其他未列明行业</w:t>
            </w:r>
          </w:p>
        </w:tc>
      </w:tr>
    </w:tbl>
    <w:p w14:paraId="5474DF9A">
      <w:pPr>
        <w:spacing w:line="0" w:lineRule="atLeast"/>
        <w:ind w:firstLine="482"/>
        <w:rPr>
          <w:rFonts w:ascii="宋体" w:hAnsi="宋体"/>
          <w:b/>
          <w:sz w:val="24"/>
          <w:szCs w:val="24"/>
        </w:rPr>
      </w:pPr>
    </w:p>
    <w:p w14:paraId="3101325F">
      <w:pPr>
        <w:pStyle w:val="5"/>
        <w:numPr>
          <w:ilvl w:val="0"/>
          <w:numId w:val="0"/>
        </w:numPr>
        <w:spacing w:line="360" w:lineRule="auto"/>
        <w:ind w:firstLine="301" w:firstLineChars="100"/>
        <w:rPr>
          <w:rStyle w:val="4"/>
          <w:rFonts w:hint="eastAsia" w:ascii="宋体" w:hAnsi="宋体" w:eastAsia="宋体" w:cs="宋体"/>
          <w:b/>
          <w:color w:val="auto"/>
          <w:sz w:val="24"/>
          <w:szCs w:val="24"/>
          <w:highlight w:val="none"/>
        </w:rPr>
      </w:pPr>
      <w:r>
        <w:rPr>
          <w:rFonts w:hint="eastAsia" w:ascii="Calibri" w:hAnsi="Calibri" w:eastAsia="宋体" w:cs="Times New Roman"/>
          <w:sz w:val="30"/>
          <w:szCs w:val="30"/>
          <w:highlight w:val="none"/>
          <w:lang w:val="en-US" w:eastAsia="zh-CN"/>
        </w:rPr>
        <w:t>二</w:t>
      </w:r>
      <w:r>
        <w:rPr>
          <w:rFonts w:hint="eastAsia" w:ascii="Calibri" w:hAnsi="Calibri" w:eastAsia="宋体" w:cs="Times New Roman"/>
          <w:sz w:val="30"/>
          <w:szCs w:val="30"/>
          <w:highlight w:val="none"/>
        </w:rPr>
        <w:t>、项目概况</w:t>
      </w:r>
    </w:p>
    <w:p w14:paraId="02A1BAA1">
      <w:pPr>
        <w:pStyle w:val="8"/>
        <w:widowControl/>
        <w:bidi w:val="0"/>
        <w:snapToGrid w:val="0"/>
        <w:spacing w:line="500" w:lineRule="exact"/>
        <w:ind w:firstLine="480" w:firstLineChars="200"/>
        <w:rPr>
          <w:rStyle w:val="4"/>
          <w:rFonts w:hint="eastAsia" w:ascii="宋体" w:hAnsi="宋体" w:eastAsia="宋体" w:cs="宋体"/>
          <w:color w:val="auto"/>
          <w:sz w:val="24"/>
          <w:szCs w:val="24"/>
          <w:highlight w:val="none"/>
        </w:rPr>
      </w:pPr>
      <w:r>
        <w:rPr>
          <w:rStyle w:val="4"/>
          <w:rFonts w:hint="eastAsia" w:ascii="宋体" w:hAnsi="宋体" w:eastAsia="宋体" w:cs="宋体"/>
          <w:color w:val="auto"/>
          <w:sz w:val="24"/>
          <w:szCs w:val="24"/>
          <w:highlight w:val="none"/>
        </w:rPr>
        <w:t>（一）项目简介</w:t>
      </w:r>
    </w:p>
    <w:p w14:paraId="2ED76764">
      <w:pPr>
        <w:pStyle w:val="8"/>
        <w:bidi w:val="0"/>
        <w:spacing w:line="460" w:lineRule="exact"/>
        <w:ind w:firstLine="720" w:firstLineChars="300"/>
        <w:rPr>
          <w:rStyle w:val="4"/>
          <w:rFonts w:hint="eastAsia" w:ascii="宋体" w:hAnsi="宋体" w:eastAsia="宋体" w:cs="宋体"/>
          <w:color w:val="auto"/>
          <w:sz w:val="24"/>
          <w:szCs w:val="24"/>
          <w:highlight w:val="none"/>
        </w:rPr>
      </w:pPr>
      <w:r>
        <w:rPr>
          <w:rStyle w:val="4"/>
          <w:rFonts w:hint="eastAsia" w:ascii="宋体" w:hAnsi="宋体" w:eastAsia="宋体" w:cs="宋体"/>
          <w:color w:val="auto"/>
          <w:sz w:val="24"/>
          <w:szCs w:val="24"/>
          <w:highlight w:val="none"/>
          <w:u w:val="none"/>
          <w:lang w:val="en-US" w:eastAsia="zh-CN"/>
        </w:rPr>
        <w:t>1、项目背景：2022年8月，农业农村部办公厅印发《关于做好农村宅基地两项试点工作通知》（农办经〔2022〕8号），要求统筹推进农村宅基地制度改革和住宅类房屋专项整治等两项试点工作。根据相关文件要求及农村乱占耕地建房问题摸排情况，对泗洪县农村乱占耕地建房住宅类房屋问题图斑进行再分析、再核查，形成补充调查成果、分析报告、一宗一档等整治所需资料，为泗洪县住宅类房屋专项整治试点工作全程提供数据和技术支持。</w:t>
      </w:r>
    </w:p>
    <w:p w14:paraId="52DEAB52">
      <w:pPr>
        <w:pStyle w:val="8"/>
        <w:bidi w:val="0"/>
        <w:spacing w:line="460" w:lineRule="exact"/>
        <w:ind w:firstLine="720" w:firstLineChars="300"/>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2、项目范围：对纳入第二步试点范围的1705宗问题图斑按要求开展技术服务。（注：此数量为预估值，具体服务数量以实际发生为准）</w:t>
      </w:r>
    </w:p>
    <w:p w14:paraId="039086D5">
      <w:pPr>
        <w:pStyle w:val="8"/>
        <w:bidi w:val="0"/>
        <w:spacing w:line="460" w:lineRule="exact"/>
        <w:ind w:firstLine="720" w:firstLineChars="300"/>
        <w:rPr>
          <w:rStyle w:val="4"/>
          <w:rFonts w:hint="eastAsia" w:ascii="宋体" w:hAnsi="宋体" w:eastAsia="宋体" w:cs="宋体"/>
          <w:color w:val="auto"/>
          <w:sz w:val="24"/>
          <w:szCs w:val="24"/>
          <w:highlight w:val="none"/>
          <w:lang w:eastAsia="zh-CN"/>
        </w:rPr>
      </w:pPr>
      <w:r>
        <w:rPr>
          <w:rStyle w:val="4"/>
          <w:rFonts w:hint="eastAsia" w:ascii="宋体" w:hAnsi="宋体" w:eastAsia="宋体" w:cs="宋体"/>
          <w:color w:val="auto"/>
          <w:sz w:val="24"/>
          <w:szCs w:val="24"/>
          <w:highlight w:val="none"/>
          <w:lang w:val="en-US" w:eastAsia="zh-CN"/>
        </w:rPr>
        <w:t>3、最高控制价：107.415万元</w:t>
      </w:r>
      <w:r>
        <w:rPr>
          <w:rFonts w:hint="eastAsia" w:ascii="宋体" w:hAnsi="宋体" w:eastAsia="宋体" w:cs="宋体"/>
          <w:color w:val="auto"/>
          <w:kern w:val="0"/>
          <w:sz w:val="24"/>
          <w:szCs w:val="24"/>
          <w:highlight w:val="none"/>
          <w:lang w:eastAsia="zh-CN"/>
        </w:rPr>
        <w:t>，超过最高限价的作无效标处理。</w:t>
      </w:r>
    </w:p>
    <w:p w14:paraId="5E24EF97">
      <w:pPr>
        <w:pStyle w:val="5"/>
        <w:numPr>
          <w:ilvl w:val="0"/>
          <w:numId w:val="0"/>
        </w:numPr>
        <w:spacing w:line="360" w:lineRule="auto"/>
        <w:ind w:firstLine="301" w:firstLineChars="100"/>
        <w:rPr>
          <w:rStyle w:val="4"/>
          <w:rFonts w:hint="eastAsia" w:ascii="宋体" w:hAnsi="宋体" w:eastAsia="宋体" w:cs="宋体"/>
          <w:b/>
          <w:color w:val="auto"/>
          <w:sz w:val="24"/>
          <w:szCs w:val="24"/>
          <w:highlight w:val="none"/>
          <w:lang w:val="en-US" w:eastAsia="zh-CN"/>
        </w:rPr>
      </w:pPr>
      <w:r>
        <w:rPr>
          <w:rFonts w:hint="eastAsia" w:ascii="Calibri" w:hAnsi="Calibri" w:eastAsia="宋体" w:cs="Times New Roman"/>
          <w:sz w:val="30"/>
          <w:szCs w:val="30"/>
          <w:highlight w:val="none"/>
          <w:lang w:val="en-US" w:eastAsia="zh-CN"/>
        </w:rPr>
        <w:t>三、工作内容</w:t>
      </w:r>
    </w:p>
    <w:p w14:paraId="651A3975">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按照部、省、市、</w:t>
      </w:r>
      <w:r>
        <w:rPr>
          <w:rStyle w:val="4"/>
          <w:rFonts w:hint="eastAsia" w:ascii="宋体" w:hAnsi="宋体" w:cs="宋体"/>
          <w:color w:val="auto"/>
          <w:sz w:val="24"/>
          <w:szCs w:val="24"/>
          <w:highlight w:val="none"/>
          <w:lang w:val="en-US" w:eastAsia="zh-CN"/>
        </w:rPr>
        <w:t>县</w:t>
      </w:r>
      <w:r>
        <w:rPr>
          <w:rStyle w:val="4"/>
          <w:rFonts w:hint="eastAsia" w:ascii="宋体" w:hAnsi="宋体" w:eastAsia="宋体" w:cs="宋体"/>
          <w:color w:val="auto"/>
          <w:sz w:val="24"/>
          <w:szCs w:val="24"/>
          <w:highlight w:val="none"/>
          <w:lang w:val="en-US" w:eastAsia="zh-CN"/>
        </w:rPr>
        <w:t>农村乱占耕地建房住宅类房屋专项整治试点工作实施方案，组织开展农村乱占耕地建房住宅类房屋问题补充调查工作，相关工作包括但不限于</w:t>
      </w:r>
    </w:p>
    <w:p w14:paraId="62489B7D">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①业务培训</w:t>
      </w:r>
    </w:p>
    <w:p w14:paraId="730A931C">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对牵头部门、条线分管等调查相关人员开展培训，确保其掌握补充调查目标任务、原则、标准规范、相关软件使用及熟悉分类处置政策及法律法规，具体包括补充调查、工作指南、工作手册和平台操作等。</w:t>
      </w:r>
    </w:p>
    <w:p w14:paraId="08EB7AE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②数据资源共享汇总</w:t>
      </w:r>
    </w:p>
    <w:p w14:paraId="3243FFF3">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根据第二次全国土地调查、第三次全国国土调查、年度国土变更调查、国土空间规划（或村庄规划）、“三区三线”划定、房地一体宅基地确权登记、历史正射影像、农村集体产权制度改革等相关数据，编制数据资源目录，形成基础数据和调查工作底图，为工作顺利开展奠定数据基础。</w:t>
      </w:r>
    </w:p>
    <w:p w14:paraId="302B9DFA">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③开展补充调查</w:t>
      </w:r>
    </w:p>
    <w:p w14:paraId="107B3F57">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按照统一的技术标准开展补充调查工作。逐宗开展问题图斑核准定位、信息核查采集、图斑测绘、数据分析与制图、问题图斑类型判定。指导乡镇、村组进行举证材料制作与收集。</w:t>
      </w:r>
    </w:p>
    <w:p w14:paraId="4D075B6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④形成调查成果及数据分析</w:t>
      </w:r>
    </w:p>
    <w:p w14:paraId="2D1E473E">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根据图斑具体情况及技术手册要求，制作宗地图、占耕地叠加分析图、占永久基本农田叠加分析图等图件，形成补充调查台账电子版。</w:t>
      </w:r>
    </w:p>
    <w:p w14:paraId="3A3FB3D2">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对问题图斑补充调查成果数据进行整理分析，梳理占用永久基本农田图以及特殊用地（重大工程、生态保护红线等）图斑分布、数量、面积，筛选甄别剔除类、整治类图斑信息，明确重点核查图斑（党员干部、城镇居民、超大面积等），统计需进行规划调整的图斑数量、面积，分析新增建设用地指标和耕地占补平衡指标需求等。</w:t>
      </w:r>
    </w:p>
    <w:p w14:paraId="467ACA5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⑤协同处置意见研判及数据填报</w:t>
      </w:r>
    </w:p>
    <w:p w14:paraId="179180A8">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同时根据图斑具体情形，逐宗匹配处置政策，协同</w:t>
      </w:r>
      <w:r>
        <w:rPr>
          <w:rStyle w:val="4"/>
          <w:rFonts w:hint="eastAsia" w:ascii="宋体" w:hAnsi="宋体" w:cs="宋体"/>
          <w:color w:val="auto"/>
          <w:sz w:val="24"/>
          <w:szCs w:val="24"/>
          <w:highlight w:val="none"/>
          <w:lang w:val="en-US" w:eastAsia="zh-CN"/>
        </w:rPr>
        <w:t>县</w:t>
      </w:r>
      <w:r>
        <w:rPr>
          <w:rStyle w:val="4"/>
          <w:rFonts w:hint="eastAsia" w:ascii="宋体" w:hAnsi="宋体" w:eastAsia="宋体" w:cs="宋体"/>
          <w:color w:val="auto"/>
          <w:sz w:val="24"/>
          <w:szCs w:val="24"/>
          <w:highlight w:val="none"/>
          <w:lang w:val="en-US" w:eastAsia="zh-CN"/>
        </w:rPr>
        <w:t>、乡镇、村级共同召开研判会，出具处置意见。将每宗图斑对应的补充调查信息表、各类举证材料、叠加分析图等上传专项整治工作平台。</w:t>
      </w:r>
    </w:p>
    <w:p w14:paraId="13A43281">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⑥一宗一档编制</w:t>
      </w:r>
    </w:p>
    <w:p w14:paraId="784C267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指导专项整治过程中各类档案资料的整理汇总，将整治过程中需要编制的各类档案按照标准格式形成一宗一档。</w:t>
      </w:r>
    </w:p>
    <w:p w14:paraId="48B0C29C">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⑦协助整治工作及自验</w:t>
      </w:r>
    </w:p>
    <w:p w14:paraId="79645767">
      <w:pPr>
        <w:pStyle w:val="8"/>
        <w:bidi w:val="0"/>
        <w:spacing w:line="520" w:lineRule="exact"/>
        <w:ind w:right="105" w:rightChars="50" w:firstLine="480" w:firstLineChars="200"/>
        <w:jc w:val="left"/>
        <w:rPr>
          <w:rStyle w:val="4"/>
          <w:rFonts w:hint="eastAsia" w:ascii="宋体" w:hAnsi="宋体" w:eastAsia="宋体" w:cs="宋体"/>
          <w:b/>
          <w:bCs/>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协助整治实施相关手续所需数据的采集、处理和分析工作，协助审核乡镇提交的整治成果，采取内外业相结合方式，对全</w:t>
      </w:r>
      <w:r>
        <w:rPr>
          <w:rStyle w:val="4"/>
          <w:rFonts w:hint="eastAsia" w:ascii="宋体" w:hAnsi="宋体" w:cs="宋体"/>
          <w:color w:val="auto"/>
          <w:sz w:val="24"/>
          <w:szCs w:val="24"/>
          <w:highlight w:val="none"/>
          <w:lang w:val="en-US" w:eastAsia="zh-CN"/>
        </w:rPr>
        <w:t>县</w:t>
      </w:r>
      <w:r>
        <w:rPr>
          <w:rStyle w:val="4"/>
          <w:rFonts w:hint="eastAsia" w:ascii="宋体" w:hAnsi="宋体" w:eastAsia="宋体" w:cs="宋体"/>
          <w:color w:val="auto"/>
          <w:sz w:val="24"/>
          <w:szCs w:val="24"/>
          <w:highlight w:val="none"/>
          <w:lang w:val="en-US" w:eastAsia="zh-CN"/>
        </w:rPr>
        <w:t>整治成果100%自查自验，并对上报的成果质量负责。</w:t>
      </w:r>
    </w:p>
    <w:p w14:paraId="5A83EDA5">
      <w:pPr>
        <w:pStyle w:val="5"/>
        <w:numPr>
          <w:ilvl w:val="0"/>
          <w:numId w:val="0"/>
        </w:numPr>
        <w:spacing w:line="360" w:lineRule="auto"/>
        <w:ind w:firstLine="301" w:firstLineChars="100"/>
        <w:rPr>
          <w:rStyle w:val="4"/>
          <w:rFonts w:hint="eastAsia" w:ascii="宋体" w:hAnsi="宋体" w:eastAsia="宋体" w:cs="宋体"/>
          <w:color w:val="auto"/>
          <w:sz w:val="24"/>
          <w:szCs w:val="24"/>
          <w:highlight w:val="none"/>
          <w:lang w:val="en-US" w:eastAsia="zh-CN"/>
        </w:rPr>
      </w:pPr>
      <w:r>
        <w:rPr>
          <w:rFonts w:hint="eastAsia" w:ascii="Calibri" w:hAnsi="Calibri" w:eastAsia="宋体" w:cs="Times New Roman"/>
          <w:sz w:val="30"/>
          <w:szCs w:val="30"/>
          <w:highlight w:val="none"/>
          <w:lang w:val="en-US" w:eastAsia="zh-CN"/>
        </w:rPr>
        <w:t>四、成果提交</w:t>
      </w:r>
    </w:p>
    <w:p w14:paraId="1575AAF7">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（1）泗洪县农村乱占耕地建房住宅类房屋专项整治调查成果台账；</w:t>
      </w:r>
    </w:p>
    <w:p w14:paraId="52B87B16">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（2）泗洪县农村乱占耕地建房住宅类房屋专项整治问题和处置意见台账；</w:t>
      </w:r>
    </w:p>
    <w:p w14:paraId="30994CCC">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（3）泗洪县农村乱占耕地建房住宅类房屋专项整治台账；</w:t>
      </w:r>
    </w:p>
    <w:p w14:paraId="6DA748A8">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（4）泗洪县农村乱占耕地建房住宅类房屋专项整治成果台账；</w:t>
      </w:r>
    </w:p>
    <w:p w14:paraId="3910D4F4">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（5）泗洪县农村乱占耕地建房住宅类房屋专项整治一宗一档材料；</w:t>
      </w:r>
    </w:p>
    <w:p w14:paraId="77DA43D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（6）泗洪县农村乱占耕地建房住宅类房屋专项整治补充调查分析报告。</w:t>
      </w:r>
    </w:p>
    <w:p w14:paraId="7FEA7446">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注：工作成果包括但不限于以上成果，如有新的政策要求按新的成果要求执行。</w:t>
      </w:r>
    </w:p>
    <w:p w14:paraId="0935A08B">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本项目提交的全部技术成果，必须能通过采购人组织的成果审查，并通过上级的核查验收。</w:t>
      </w:r>
    </w:p>
    <w:p w14:paraId="6342218B">
      <w:pPr>
        <w:pStyle w:val="5"/>
        <w:numPr>
          <w:ilvl w:val="0"/>
          <w:numId w:val="0"/>
        </w:numPr>
        <w:spacing w:line="360" w:lineRule="auto"/>
        <w:ind w:firstLine="301" w:firstLineChars="100"/>
        <w:rPr>
          <w:rStyle w:val="4"/>
          <w:rFonts w:hint="eastAsia" w:ascii="宋体" w:hAnsi="宋体" w:eastAsia="宋体" w:cs="宋体"/>
          <w:b/>
          <w:bCs/>
          <w:color w:val="auto"/>
          <w:sz w:val="24"/>
          <w:szCs w:val="24"/>
          <w:highlight w:val="none"/>
          <w:lang w:val="en-US" w:eastAsia="zh-CN"/>
        </w:rPr>
      </w:pPr>
      <w:r>
        <w:rPr>
          <w:rFonts w:hint="eastAsia" w:ascii="Calibri" w:hAnsi="Calibri" w:eastAsia="宋体" w:cs="Times New Roman"/>
          <w:sz w:val="30"/>
          <w:szCs w:val="30"/>
          <w:highlight w:val="none"/>
          <w:lang w:val="en-US" w:eastAsia="zh-CN"/>
        </w:rPr>
        <w:t>五、项目实施方案</w:t>
      </w:r>
    </w:p>
    <w:p w14:paraId="09918B2D">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 xml:space="preserve">（一）项目整体方案  </w:t>
      </w:r>
    </w:p>
    <w:p w14:paraId="285BAA1A">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供应商应对项目背景的理解、项目现状分析、项目需求分析、项目重难点及应对措施等，认知须准确，阐述全面。</w:t>
      </w:r>
    </w:p>
    <w:p w14:paraId="056F1EC6">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 xml:space="preserve">（二）项目技术服务方案  </w:t>
      </w:r>
    </w:p>
    <w:p w14:paraId="32D76486">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供应商应制定详细的技术服务方案，技术方案内容清晰、完整、定位准确。</w:t>
      </w:r>
    </w:p>
    <w:p w14:paraId="053BC4FA">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 xml:space="preserve">（三）项目实施方案   </w:t>
      </w:r>
    </w:p>
    <w:p w14:paraId="1FE1183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供应商应制定详细的项目实施计划，在实施期限内有科学的进度安排和相应的管理措施，有序组织项目实施，若发生工期滞后和突发情况，应有应急管理办法。</w:t>
      </w:r>
    </w:p>
    <w:p w14:paraId="18958720">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（四）培训方案</w:t>
      </w:r>
    </w:p>
    <w:p w14:paraId="114451B3">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包含培训计划、培训保障、培训课件等，内容深度契合项目特性。</w:t>
      </w:r>
    </w:p>
    <w:p w14:paraId="4C9C9B29">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 xml:space="preserve">（五）后续服务措施及承诺   </w:t>
      </w:r>
    </w:p>
    <w:p w14:paraId="14DECD75">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供应商提供的服务承诺包括但不限于从服务保证体系（问题的响应处理、问题的解决办法），后续服务措施（服务响应时间及维护能力）。为确保本项目顺利实施，应固定服务人员。</w:t>
      </w:r>
    </w:p>
    <w:p w14:paraId="48776E0B">
      <w:pPr>
        <w:pStyle w:val="8"/>
        <w:bidi w:val="0"/>
        <w:spacing w:line="520" w:lineRule="exact"/>
        <w:ind w:right="105" w:rightChars="50" w:firstLine="480" w:firstLineChars="200"/>
        <w:jc w:val="left"/>
        <w:rPr>
          <w:rStyle w:val="4"/>
          <w:rFonts w:hint="eastAsia" w:ascii="宋体" w:hAnsi="宋体" w:eastAsia="宋体" w:cs="宋体"/>
          <w:color w:val="auto"/>
          <w:sz w:val="24"/>
          <w:szCs w:val="24"/>
          <w:highlight w:val="none"/>
          <w:lang w:val="en-US" w:eastAsia="zh-CN"/>
        </w:rPr>
      </w:pPr>
      <w:r>
        <w:rPr>
          <w:rStyle w:val="4"/>
          <w:rFonts w:hint="eastAsia" w:ascii="宋体" w:hAnsi="宋体" w:eastAsia="宋体" w:cs="宋体"/>
          <w:color w:val="auto"/>
          <w:sz w:val="24"/>
          <w:szCs w:val="24"/>
          <w:highlight w:val="none"/>
          <w:lang w:val="en-US" w:eastAsia="zh-CN"/>
        </w:rPr>
        <w:t>（六）人员配置</w:t>
      </w:r>
    </w:p>
    <w:p w14:paraId="6A693993">
      <w:pPr>
        <w:pStyle w:val="8"/>
        <w:bidi w:val="0"/>
        <w:spacing w:line="520" w:lineRule="exact"/>
        <w:ind w:right="105" w:rightChars="50" w:firstLine="480" w:firstLineChars="200"/>
        <w:jc w:val="left"/>
        <w:rPr>
          <w:rFonts w:hint="eastAsia" w:ascii="宋体" w:hAnsi="宋体" w:eastAsia="宋体" w:cs="宋体"/>
          <w:color w:val="auto"/>
          <w:sz w:val="24"/>
          <w:szCs w:val="24"/>
        </w:rPr>
      </w:pPr>
      <w:r>
        <w:rPr>
          <w:rStyle w:val="4"/>
          <w:rFonts w:hint="eastAsia" w:ascii="宋体" w:hAnsi="宋体" w:eastAsia="宋体" w:cs="宋体"/>
          <w:color w:val="auto"/>
          <w:sz w:val="24"/>
          <w:szCs w:val="24"/>
          <w:highlight w:val="none"/>
          <w:lang w:val="en-US" w:eastAsia="zh-CN"/>
        </w:rPr>
        <w:t>拟投入人员不低于</w:t>
      </w:r>
      <w:r>
        <w:rPr>
          <w:rStyle w:val="4"/>
          <w:rFonts w:hint="eastAsia" w:ascii="宋体" w:hAnsi="宋体" w:cs="宋体"/>
          <w:color w:val="auto"/>
          <w:sz w:val="24"/>
          <w:szCs w:val="24"/>
          <w:highlight w:val="none"/>
          <w:lang w:val="en-US" w:eastAsia="zh-CN"/>
        </w:rPr>
        <w:t>1</w:t>
      </w:r>
      <w:r>
        <w:rPr>
          <w:rStyle w:val="4"/>
          <w:rFonts w:hint="eastAsia" w:ascii="宋体" w:hAnsi="宋体" w:eastAsia="宋体" w:cs="宋体"/>
          <w:color w:val="auto"/>
          <w:sz w:val="24"/>
          <w:szCs w:val="24"/>
          <w:highlight w:val="none"/>
          <w:lang w:val="en-US" w:eastAsia="zh-CN"/>
        </w:rPr>
        <w:t>4人（含项目负责人、技术负责人等），所配人员应具备相应的技术能力。</w:t>
      </w:r>
    </w:p>
    <w:p w14:paraId="17B249D3">
      <w:pPr>
        <w:pStyle w:val="5"/>
        <w:numPr>
          <w:ilvl w:val="0"/>
          <w:numId w:val="0"/>
        </w:numPr>
        <w:spacing w:line="360" w:lineRule="auto"/>
        <w:ind w:firstLine="301" w:firstLineChars="100"/>
        <w:rPr>
          <w:rFonts w:hint="eastAsia" w:ascii="宋体" w:hAnsi="宋体" w:eastAsia="宋体" w:cs="宋体"/>
          <w:b/>
          <w:bCs/>
          <w:sz w:val="24"/>
          <w:szCs w:val="24"/>
          <w:highlight w:val="none"/>
        </w:rPr>
      </w:pPr>
      <w:r>
        <w:rPr>
          <w:rFonts w:hint="eastAsia" w:ascii="Calibri" w:hAnsi="Calibri" w:eastAsia="宋体" w:cs="Times New Roman"/>
          <w:sz w:val="30"/>
          <w:szCs w:val="30"/>
          <w:highlight w:val="none"/>
          <w:lang w:val="en-US" w:eastAsia="zh-CN"/>
        </w:rPr>
        <w:t>六、商务要求</w:t>
      </w:r>
    </w:p>
    <w:p w14:paraId="395024B3">
      <w:pPr>
        <w:widowControl/>
        <w:spacing w:line="360" w:lineRule="auto"/>
        <w:ind w:firstLine="488"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（1）服务期限：自合同签订之日起至2027年6月30日止。</w:t>
      </w:r>
    </w:p>
    <w:p w14:paraId="777191F8">
      <w:pPr>
        <w:widowControl/>
        <w:spacing w:line="360" w:lineRule="auto"/>
        <w:ind w:firstLine="488"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（2）服务地点：采购人指定地点。</w:t>
      </w:r>
    </w:p>
    <w:p w14:paraId="2900F95A">
      <w:pPr>
        <w:widowControl/>
        <w:spacing w:line="360" w:lineRule="auto"/>
        <w:ind w:firstLine="488" w:firstLineChars="200"/>
        <w:rPr>
          <w:rFonts w:hint="eastAsia" w:ascii="宋体" w:hAnsi="宋体" w:eastAsia="宋体" w:cs="宋体"/>
          <w:color w:val="auto"/>
          <w:spacing w:val="2"/>
          <w:sz w:val="24"/>
          <w:szCs w:val="24"/>
          <w:highlight w:val="none"/>
        </w:rPr>
      </w:pP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auto"/>
          <w:spacing w:val="2"/>
          <w:sz w:val="24"/>
          <w:szCs w:val="24"/>
          <w:highlight w:val="none"/>
        </w:rPr>
        <w:t>付款方式：</w:t>
      </w:r>
    </w:p>
    <w:p w14:paraId="6BD3D734">
      <w:pPr>
        <w:widowControl/>
        <w:spacing w:line="360" w:lineRule="auto"/>
        <w:ind w:firstLine="488" w:firstLineChars="200"/>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预付款：合同签订后付合同价款的</w:t>
      </w:r>
      <w:r>
        <w:rPr>
          <w:rFonts w:hint="eastAsia" w:ascii="宋体" w:hAnsi="宋体" w:cs="宋体"/>
          <w:color w:val="auto"/>
          <w:spacing w:val="2"/>
          <w:sz w:val="24"/>
          <w:szCs w:val="24"/>
          <w:highlight w:val="none"/>
          <w:lang w:val="en-US" w:eastAsia="zh-CN"/>
        </w:rPr>
        <w:t xml:space="preserve">10%                                                                                                                                                                                                                                                                                                                                                                                                                                                         </w:t>
      </w:r>
    </w:p>
    <w:p w14:paraId="673F406C">
      <w:pPr>
        <w:widowControl/>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进度款：全面完成工作，经市县两级初步审核合格后付至合同总价款60%，成果经省厅和农业部验收合格后付至合同总价款100%。</w:t>
      </w:r>
    </w:p>
    <w:p w14:paraId="7EAD897F">
      <w:pPr>
        <w:widowControl/>
        <w:spacing w:line="360" w:lineRule="auto"/>
        <w:ind w:firstLine="488"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w:t>
      </w:r>
    </w:p>
    <w:p w14:paraId="5F3BD6EF">
      <w:pPr>
        <w:widowControl/>
        <w:spacing w:line="360" w:lineRule="auto"/>
        <w:ind w:firstLine="488"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资金支付的时间：收到供应商发票</w:t>
      </w: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2"/>
          <w:sz w:val="24"/>
          <w:szCs w:val="24"/>
          <w:highlight w:val="none"/>
        </w:rPr>
        <w:t>个工作日内；</w:t>
      </w:r>
    </w:p>
    <w:p w14:paraId="59E68F1B">
      <w:pPr>
        <w:widowControl/>
        <w:spacing w:line="360" w:lineRule="auto"/>
        <w:ind w:firstLine="488" w:firstLineChars="20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资金支付的条件：满足相应阶段的要求且收到供应商发票</w:t>
      </w:r>
      <w:r>
        <w:rPr>
          <w:rFonts w:hint="eastAsia" w:ascii="宋体" w:hAnsi="宋体" w:eastAsia="宋体" w:cs="宋体"/>
          <w:color w:val="auto"/>
          <w:spacing w:val="2"/>
          <w:sz w:val="24"/>
          <w:szCs w:val="24"/>
          <w:highlight w:val="none"/>
          <w:lang w:eastAsia="zh-CN"/>
        </w:rPr>
        <w:t>。</w:t>
      </w:r>
    </w:p>
    <w:p w14:paraId="282A64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bidi="ar-SA"/>
        </w:rPr>
        <w:t>3.在签订合同时，中标人明确表示无需预付款或者主动要求降低预付款比例的金额，采购人可不适用预付款规定。</w:t>
      </w:r>
    </w:p>
    <w:p w14:paraId="2B06B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（4）报价要求：</w:t>
      </w:r>
    </w:p>
    <w:p w14:paraId="495304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本项目实行包干价，人工费、设备费、技术服务费、差旅费、食宿费、税费等所有与项目相关的费用均包含在本次报价中，采购人不再另行支付其他费用。</w:t>
      </w:r>
    </w:p>
    <w:p w14:paraId="0A78F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（5）质量要求：</w:t>
      </w:r>
    </w:p>
    <w:p w14:paraId="542D82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供应商所提交的本项目最终成果需符合国家相关法律法规。</w:t>
      </w:r>
    </w:p>
    <w:p w14:paraId="10310A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（6）验收方法和标准</w:t>
      </w:r>
    </w:p>
    <w:p w14:paraId="3557FA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成果须符合国家及行业的相关技术标准及要求，严格按照招标文件相关要求、供应商的响应文件、合同条款以及《财政部关于进一步加强政府采购需求和履约验收管理的指导意见》(财库(2016) 205号)相关规定执行。</w:t>
      </w:r>
    </w:p>
    <w:p w14:paraId="524927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本项目采购人不再单独组织验收，以供应商提交成果通过采购人检查合格后视为项目合格。</w:t>
      </w:r>
    </w:p>
    <w:p w14:paraId="4E1CDA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因部、省、市、县出台的新的技术标准和要求或规范规程时，变更委托项目工作内容、压缩工期、修改项目实质性工作内容（如要求供应商提供超出质量标准以外的质量要求等）或因其他原因，导致供应商工作返工或增加工作量的，双方应另行协商签订补充协议增</w:t>
      </w:r>
      <w:bookmarkStart w:id="2" w:name="_GoBack"/>
      <w:bookmarkEnd w:id="2"/>
      <w:r>
        <w:rPr>
          <w:rFonts w:hint="eastAsia" w:ascii="宋体" w:hAnsi="宋体" w:eastAsia="宋体" w:cs="宋体"/>
          <w:sz w:val="24"/>
          <w:szCs w:val="24"/>
        </w:rPr>
        <w:t>加工作经费。</w:t>
      </w:r>
    </w:p>
    <w:p w14:paraId="1C76CE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（8）因政策、规范规程或投资主体发生变化等非成交供应商原因导致项目不能验收的，采购人应按照项目进度向成交供应商支付合同款。</w:t>
      </w:r>
    </w:p>
    <w:p w14:paraId="18A422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）项目完成后，如采购人需要打印图件或文本资料，成交供应商应第一时间响应，但所涉及费用由采购人自行支付。</w:t>
      </w:r>
    </w:p>
    <w:p w14:paraId="77A41514">
      <w:pPr>
        <w:pStyle w:val="2"/>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）其他要求</w:t>
      </w:r>
    </w:p>
    <w:p w14:paraId="526CEA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（1）数据安全保密要求</w:t>
      </w:r>
    </w:p>
    <w:p w14:paraId="260168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中标人对本项目涉及的所有信息及数据具有保密义务，在工作过程中要严格遵守工作保密制度，不经过采购人同意不得向任何第三方提供项目相关信息，如造成信息泄露或其他损失由中标人承担。</w:t>
      </w:r>
    </w:p>
    <w:p w14:paraId="32BF1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（2）安全责任</w:t>
      </w:r>
    </w:p>
    <w:p w14:paraId="0D1D0F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中标人做好安全生产条件评估和人身安全培训，配备相应的个人防护用品，在工作期间，应避免和农民群众发生冲突，遇到矛盾纠纷及时和泗洪县农村产权交易中心联系，实施过程中一切安全责任自行承担。</w:t>
      </w:r>
    </w:p>
    <w:p w14:paraId="7B3DA2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4CFA"/>
    <w:rsid w:val="050748C3"/>
    <w:rsid w:val="066F5090"/>
    <w:rsid w:val="0DD00B0A"/>
    <w:rsid w:val="13914897"/>
    <w:rsid w:val="154F4A0A"/>
    <w:rsid w:val="19006747"/>
    <w:rsid w:val="1E6C03DB"/>
    <w:rsid w:val="1F645556"/>
    <w:rsid w:val="26367DE8"/>
    <w:rsid w:val="4A457CAA"/>
    <w:rsid w:val="53B95111"/>
    <w:rsid w:val="5CDD5A24"/>
    <w:rsid w:val="62D11B87"/>
    <w:rsid w:val="64E738E4"/>
    <w:rsid w:val="67F02AB0"/>
    <w:rsid w:val="6A696B49"/>
    <w:rsid w:val="6B923E7E"/>
    <w:rsid w:val="72604CD6"/>
    <w:rsid w:val="739F35DC"/>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firstLine="600"/>
    </w:pPr>
    <w:rPr>
      <w:rFonts w:ascii="Times New Roman" w:hAnsi="Times New Roman" w:eastAsia="方正仿宋_GBK"/>
      <w:b/>
      <w:bCs/>
      <w:color w:val="FF0000"/>
      <w:sz w:val="30"/>
      <w:szCs w:val="30"/>
    </w:rPr>
  </w:style>
  <w:style w:type="paragraph" w:customStyle="1" w:styleId="5">
    <w:name w:val="Normal_20"/>
    <w:next w:val="6"/>
    <w:qFormat/>
    <w:uiPriority w:val="0"/>
    <w:rPr>
      <w:rFonts w:ascii="黑体" w:hAnsi="黑体" w:eastAsia="黑体" w:cs="Times New Roman"/>
      <w:b/>
      <w:sz w:val="32"/>
      <w:szCs w:val="24"/>
      <w:lang w:val="en-US" w:eastAsia="zh-CN" w:bidi="ar-SA"/>
    </w:rPr>
  </w:style>
  <w:style w:type="paragraph" w:customStyle="1" w:styleId="6">
    <w:name w:val="正文文本首行缩进 22"/>
    <w:basedOn w:val="7"/>
    <w:qFormat/>
    <w:uiPriority w:val="0"/>
    <w:pPr>
      <w:spacing w:after="120"/>
      <w:ind w:left="200" w:firstLine="200"/>
    </w:pPr>
    <w:rPr>
      <w:rFonts w:ascii="Times New Roman" w:hAnsi="Times New Roman"/>
      <w:sz w:val="24"/>
    </w:rPr>
  </w:style>
  <w:style w:type="paragraph" w:customStyle="1" w:styleId="7">
    <w:name w:val="正文文本缩进2"/>
    <w:basedOn w:val="5"/>
    <w:qFormat/>
    <w:uiPriority w:val="0"/>
    <w:pPr>
      <w:ind w:firstLine="225"/>
    </w:pPr>
    <w:rPr>
      <w:rFonts w:ascii="仿宋_GB2312" w:eastAsia="仿宋_GB2312"/>
    </w:rPr>
  </w:style>
  <w:style w:type="paragraph" w:customStyle="1" w:styleId="8">
    <w:name w:val="正文_2"/>
    <w:next w:val="9"/>
    <w:qFormat/>
    <w:uiPriority w:val="0"/>
    <w:pPr>
      <w:widowControl w:val="0"/>
      <w:jc w:val="both"/>
    </w:pPr>
    <w:rPr>
      <w:rFonts w:ascii="Calibri" w:hAnsi="Calibri" w:eastAsia="宋体" w:cs="Times New Roman"/>
      <w:sz w:val="21"/>
      <w:szCs w:val="22"/>
      <w:lang w:val="en-US" w:eastAsia="zh-CN" w:bidi="ar-SA"/>
    </w:rPr>
  </w:style>
  <w:style w:type="paragraph" w:customStyle="1" w:styleId="9">
    <w:name w:val="文本块_0"/>
    <w:basedOn w:val="8"/>
    <w:qFormat/>
    <w:uiPriority w:val="0"/>
    <w:pPr>
      <w:spacing w:line="360" w:lineRule="exact"/>
      <w:ind w:left="1548" w:leftChars="-857" w:right="12" w:rightChars="12" w:hanging="2405" w:hangingChars="2405"/>
    </w:pPr>
    <w:rPr>
      <w:rFonts w:ascii="宋体"/>
      <w:bCs/>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2748</Words>
  <Characters>2789</Characters>
  <Lines>0</Lines>
  <Paragraphs>0</Paragraphs>
  <TotalTime>1</TotalTime>
  <ScaleCrop>false</ScaleCrop>
  <LinksUpToDate>false</LinksUpToDate>
  <CharactersWithSpaces>3241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2025-12-12T06:31:00Z</dcterms:created>
  <dc:creator>Administrator</dc:creator>
  <cp:lastModifiedBy>陈</cp:lastModifiedBy>
  <dcterms:modified xsi:type="dcterms:W3CDTF">2025-12-12T09:16:07Z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eyJoZGlkIjoiZGM3ZjFiYzBmOTQxNmU5YTEzZDIxMjU5NzRkOGNmOTEiLCJ1c2VySWQiOiIyMzAwNjc3MzEifQ==</vt:lpwstr>
  </property>
  <property fmtid="{D5CDD505-2E9C-101B-9397-08002B2CF9AE}" pid="4" name="ICV">
    <vt:lpwstr>7CB59885F4EA4EE29ECFD4538EFD430A_12</vt:lpwstr>
  </property>
</Properties>
</file>